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微软雅黑" w:hAnsi="微软雅黑" w:eastAsia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/>
          <w:sz w:val="30"/>
          <w:szCs w:val="30"/>
          <w:lang w:val="en-US" w:eastAsia="zh-CN"/>
        </w:rPr>
        <w:t>PC版：</w:t>
      </w:r>
    </w:p>
    <w:p>
      <w:pPr>
        <w:rPr>
          <w:rStyle w:val="4"/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第一步：搜索网址进行登陆</w:t>
      </w:r>
      <w:r>
        <w:fldChar w:fldCharType="begin"/>
      </w:r>
      <w:r>
        <w:instrText xml:space="preserve"> HYPERLINK "http://c.huaxuegroup.com/#/" </w:instrText>
      </w:r>
      <w:r>
        <w:fldChar w:fldCharType="separate"/>
      </w:r>
      <w:r>
        <w:rPr>
          <w:rStyle w:val="4"/>
          <w:rFonts w:ascii="微软雅黑" w:hAnsi="微软雅黑" w:eastAsia="微软雅黑"/>
          <w:sz w:val="30"/>
          <w:szCs w:val="30"/>
        </w:rPr>
        <w:t>http://c.huaxuegroup.com/#/</w:t>
      </w:r>
      <w:r>
        <w:rPr>
          <w:rStyle w:val="4"/>
          <w:rFonts w:ascii="微软雅黑" w:hAnsi="微软雅黑" w:eastAsia="微软雅黑"/>
          <w:sz w:val="30"/>
          <w:szCs w:val="30"/>
        </w:rPr>
        <w:fldChar w:fldCharType="end"/>
      </w:r>
    </w:p>
    <w:p>
      <w:pPr>
        <w:rPr>
          <w:rStyle w:val="4"/>
          <w:rFonts w:ascii="微软雅黑" w:hAnsi="微软雅黑" w:eastAsia="微软雅黑"/>
          <w:sz w:val="30"/>
          <w:szCs w:val="30"/>
        </w:rPr>
      </w:pPr>
    </w:p>
    <w:p>
      <w:r>
        <w:drawing>
          <wp:inline distT="0" distB="0" distL="0" distR="0">
            <wp:extent cx="5273040" cy="26593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第二步：点击 “生态系统“</w:t>
      </w:r>
    </w:p>
    <w:p>
      <w:r>
        <w:drawing>
          <wp:inline distT="0" distB="0" distL="0" distR="0">
            <wp:extent cx="5273040" cy="2659380"/>
            <wp:effectExtent l="0" t="0" r="3810" b="7620"/>
            <wp:docPr id="11850127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12755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第三步：点击“创新创业项目管理平台“</w:t>
      </w:r>
    </w:p>
    <w:p>
      <w:r>
        <w:rPr>
          <w:rFonts w:hint="eastAsia"/>
        </w:rPr>
        <w:drawing>
          <wp:inline distT="0" distB="0" distL="0" distR="0">
            <wp:extent cx="5273040" cy="2659380"/>
            <wp:effectExtent l="0" t="0" r="3810" b="7620"/>
            <wp:docPr id="21345811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81189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第四步：点击“2023年大学生创新创业训练计划校级验收”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ascii="微软雅黑" w:hAnsi="微软雅黑" w:eastAsia="微软雅黑"/>
          <w:sz w:val="30"/>
          <w:szCs w:val="30"/>
          <w:lang w:val="en-US" w:eastAsia="zh-CN"/>
        </w:rPr>
      </w:pPr>
    </w:p>
    <w:p>
      <w:pPr>
        <w:rPr>
          <w:rFonts w:hint="default" w:ascii="微软雅黑" w:hAnsi="微软雅黑" w:eastAsia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/>
          <w:sz w:val="30"/>
          <w:szCs w:val="30"/>
          <w:lang w:val="en-US" w:eastAsia="zh-CN"/>
        </w:rPr>
        <w:t>第五步：点击“点击报名”并填写项目信息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2805430"/>
            <wp:effectExtent l="0" t="0" r="5715" b="1397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sz w:val="30"/>
          <w:szCs w:val="30"/>
          <w:lang w:val="en-US" w:eastAsia="zh-CN"/>
        </w:rPr>
      </w:pPr>
    </w:p>
    <w:p>
      <w:pPr>
        <w:rPr>
          <w:rFonts w:hint="default" w:ascii="微软雅黑" w:hAnsi="微软雅黑" w:eastAsia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/>
          <w:sz w:val="30"/>
          <w:szCs w:val="30"/>
          <w:lang w:val="en-US" w:eastAsia="zh-CN"/>
        </w:rPr>
        <w:t>第六步：点击“申报”并按要求上传材料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lZWY4NzA0ODdjZmIxM2M1OGZjMjNkNzk0NTE2M2YifQ=="/>
  </w:docVars>
  <w:rsids>
    <w:rsidRoot w:val="00000000"/>
    <w:rsid w:val="04703023"/>
    <w:rsid w:val="406D7640"/>
    <w:rsid w:val="4A823B5E"/>
    <w:rsid w:val="72B6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108</Words>
  <Characters>138</Characters>
  <Lines>0</Lines>
  <Paragraphs>0</Paragraphs>
  <TotalTime>0</TotalTime>
  <ScaleCrop>false</ScaleCrop>
  <LinksUpToDate>false</LinksUpToDate>
  <CharactersWithSpaces>139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2023-05-10T08:33:00Z</dcterms:created>
  <dc:creator>双创</dc:creator>
  <cp:lastModifiedBy>魚丸.</cp:lastModifiedBy>
  <dcterms:modified xsi:type="dcterms:W3CDTF">2023-05-22T07:53:21Z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FABCBDE56BCC4054BBC35AD1AD9BBCB2_13</vt:lpwstr>
  </property>
</Properties>
</file>